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ПРАВИЛА РЕКЛАМНОЙ АКЦИИ</w:t>
      </w:r>
      <w:r>
        <w:rPr>
          <w:rFonts w:ascii="Times New Roman" w:hAnsi="Times New Roman" w:cs="Times New Roman"/>
          <w:b/>
          <w:bCs/>
          <w:sz w:val="22"/>
          <w:szCs w:val="22"/>
        </w:rPr>
        <w:br/>
        <w:t xml:space="preserve">«QRGET: QR-ВИЗИТКА И РОЗЫГРЫШ ПРИЗА»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Редакция от </w:t>
      </w:r>
      <w:r>
        <w:rPr>
          <w:rFonts w:ascii="Times New Roman" w:hAnsi="Times New Roman" w:cs="Times New Roman"/>
          <w:sz w:val="22"/>
          <w:szCs w:val="22"/>
        </w:rPr>
        <w:t xml:space="preserve">19</w:t>
      </w:r>
      <w:r>
        <w:rPr>
          <w:rFonts w:ascii="Times New Roman" w:hAnsi="Times New Roman" w:cs="Times New Roman"/>
          <w:sz w:val="22"/>
          <w:szCs w:val="22"/>
        </w:rPr>
        <w:t xml:space="preserve">.1</w:t>
      </w:r>
      <w:r>
        <w:rPr>
          <w:rFonts w:ascii="Times New Roman" w:hAnsi="Times New Roman" w:cs="Times New Roman"/>
          <w:sz w:val="22"/>
          <w:szCs w:val="22"/>
        </w:rPr>
        <w:t xml:space="preserve">0</w:t>
      </w:r>
      <w:r>
        <w:rPr>
          <w:rFonts w:ascii="Times New Roman" w:hAnsi="Times New Roman" w:cs="Times New Roman"/>
          <w:sz w:val="22"/>
          <w:szCs w:val="22"/>
        </w:rPr>
        <w:t xml:space="preserve">.2026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1. Общие положения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Настоящие Правила определяют порядок проведения бесплатной рекламной акции «QRGET: QR-визитка и розыгрыш приза» (далее — «Акция»).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Организат</w:t>
      </w:r>
      <w:r>
        <w:rPr>
          <w:rFonts w:ascii="Times New Roman" w:hAnsi="Times New Roman" w:cs="Times New Roman"/>
          <w:sz w:val="22"/>
          <w:szCs w:val="22"/>
        </w:rPr>
        <w:t xml:space="preserve">ор Акции: Общество с ограниченной ответственностью «КУАРГЕТ», ИНН 5404316506, КПП 540601001, ОГРН 1235400011450, юридический адрес: 630099, Новосибирская область, г. Новосибирск, Вокзальная магистраль, зд. 16, e-mail: help@qrget.ru (далее — «Организатор»).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1.3. Акция проводится в рекламных целях: знакомство участников с сервисом QRGET, функционалом QR-кодов и цифровых визиток, повышение узнаваемости сервиса и развитие партнерских контактов.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1.4. Акция не является государственной лотереей или азартной игрой. Участие в Акции бесплатное, не требует покупки товара, оплаты услуги, внесения ставки, взноса или иного встречного имущественного предоставления за право участвовать в розыгрыше.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 xml:space="preserve">1.5. Место проведения: </w:t>
      </w:r>
      <w:r>
        <w:rPr>
          <w:rFonts w:ascii="Times New Roman" w:hAnsi="Times New Roman" w:cs="Times New Roman"/>
          <w:sz w:val="22"/>
          <w:szCs w:val="22"/>
        </w:rPr>
        <w:t xml:space="preserve">XXV Национальная конференция по микрофинансированию и финансовой доступности, г. Санкт-Петербург, ул. Кораблестроителей, д. 14, Cosmos Санкт-Петербург Прибалтийская Отель.</w:t>
      </w:r>
      <w:r>
        <w:rPr>
          <w:rFonts w:ascii="Times New Roman" w:hAnsi="Times New Roman" w:cs="Times New Roman"/>
          <w:sz w:val="22"/>
          <w:szCs w:val="22"/>
          <w:highlight w:val="yellow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1.6. Срок проведения Акции: с </w:t>
      </w:r>
      <w:r>
        <w:rPr>
          <w:rFonts w:ascii="Times New Roman" w:hAnsi="Times New Roman" w:cs="Times New Roman"/>
          <w:sz w:val="22"/>
          <w:szCs w:val="22"/>
        </w:rPr>
        <w:t xml:space="preserve">25.11.2026 г. </w:t>
      </w:r>
      <w:r>
        <w:rPr>
          <w:rFonts w:ascii="Times New Roman" w:hAnsi="Times New Roman" w:cs="Times New Roman"/>
          <w:sz w:val="22"/>
          <w:szCs w:val="22"/>
        </w:rPr>
        <w:t xml:space="preserve">09:30 по мск </w:t>
      </w:r>
      <w:r>
        <w:rPr>
          <w:rFonts w:ascii="Times New Roman" w:hAnsi="Times New Roman" w:cs="Times New Roman"/>
          <w:sz w:val="22"/>
          <w:szCs w:val="22"/>
        </w:rPr>
        <w:t xml:space="preserve">по</w:t>
      </w:r>
      <w:r>
        <w:rPr>
          <w:rFonts w:ascii="Times New Roman" w:hAnsi="Times New Roman" w:cs="Times New Roman"/>
          <w:sz w:val="22"/>
          <w:szCs w:val="22"/>
        </w:rPr>
        <w:t xml:space="preserve"> 25.11.2026 г. </w:t>
      </w:r>
      <w:r>
        <w:rPr>
          <w:rFonts w:ascii="Times New Roman" w:hAnsi="Times New Roman" w:cs="Times New Roman"/>
          <w:sz w:val="22"/>
          <w:szCs w:val="22"/>
        </w:rPr>
        <w:t xml:space="preserve">18:00 по мск</w:t>
      </w:r>
      <w:r>
        <w:rPr>
          <w:rFonts w:ascii="Times New Roman" w:hAnsi="Times New Roman" w:cs="Times New Roman"/>
          <w:sz w:val="22"/>
          <w:szCs w:val="22"/>
        </w:rPr>
        <w:t xml:space="preserve">. Регистрация участников прекращается </w:t>
      </w:r>
      <w:r>
        <w:rPr>
          <w:rFonts w:ascii="Times New Roman" w:hAnsi="Times New Roman" w:cs="Times New Roman"/>
          <w:sz w:val="22"/>
          <w:szCs w:val="22"/>
        </w:rPr>
        <w:t xml:space="preserve">25.11.2026 г. </w:t>
      </w:r>
      <w:r>
        <w:rPr>
          <w:rFonts w:ascii="Times New Roman" w:hAnsi="Times New Roman" w:cs="Times New Roman"/>
          <w:sz w:val="22"/>
          <w:szCs w:val="22"/>
        </w:rPr>
        <w:t xml:space="preserve">в</w:t>
      </w:r>
      <w:r>
        <w:rPr>
          <w:rFonts w:ascii="Times New Roman" w:hAnsi="Times New Roman" w:cs="Times New Roman"/>
          <w:sz w:val="22"/>
          <w:szCs w:val="22"/>
        </w:rPr>
        <w:t xml:space="preserve"> 1</w:t>
      </w:r>
      <w:r>
        <w:rPr>
          <w:rFonts w:ascii="Times New Roman" w:hAnsi="Times New Roman" w:cs="Times New Roman"/>
          <w:sz w:val="22"/>
          <w:szCs w:val="22"/>
        </w:rPr>
        <w:t xml:space="preserve">8</w:t>
      </w:r>
      <w:r>
        <w:rPr>
          <w:rFonts w:ascii="Times New Roman" w:hAnsi="Times New Roman" w:cs="Times New Roman"/>
          <w:sz w:val="22"/>
          <w:szCs w:val="22"/>
        </w:rPr>
        <w:t xml:space="preserve">:</w:t>
      </w:r>
      <w:r>
        <w:rPr>
          <w:rFonts w:ascii="Times New Roman" w:hAnsi="Times New Roman" w:cs="Times New Roman"/>
          <w:sz w:val="22"/>
          <w:szCs w:val="22"/>
        </w:rPr>
        <w:t xml:space="preserve">00</w:t>
      </w:r>
      <w:r>
        <w:rPr>
          <w:rFonts w:ascii="Times New Roman" w:hAnsi="Times New Roman" w:cs="Times New Roman"/>
          <w:sz w:val="22"/>
          <w:szCs w:val="22"/>
        </w:rPr>
        <w:t xml:space="preserve"> по мск</w:t>
      </w:r>
      <w:r>
        <w:rPr>
          <w:rFonts w:ascii="Times New Roman" w:hAnsi="Times New Roman" w:cs="Times New Roman"/>
          <w:sz w:val="22"/>
          <w:szCs w:val="22"/>
        </w:rPr>
        <w:t xml:space="preserve">. Розыгрыш проводится </w:t>
      </w:r>
      <w:r>
        <w:rPr>
          <w:rFonts w:ascii="Times New Roman" w:hAnsi="Times New Roman" w:cs="Times New Roman"/>
          <w:sz w:val="22"/>
          <w:szCs w:val="22"/>
        </w:rPr>
        <w:t xml:space="preserve">25.11.2026 г. после 18:00 по мск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1.7. Актуальная редакция Правил размещается по адресу: </w:t>
      </w:r>
      <w:r>
        <w:rPr>
          <w:rFonts w:ascii="Times New Roman" w:hAnsi="Times New Roman" w:cs="Times New Roman"/>
          <w:sz w:val="22"/>
          <w:szCs w:val="22"/>
        </w:rPr>
        <w:t xml:space="preserve">https://qrget.ru/legal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2. Участники Акции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2.1. Участником может быть полностью дееспособное физическое лицо, достигшее 18 лет, присутствующее на </w:t>
      </w:r>
      <w:r>
        <w:rPr>
          <w:rFonts w:ascii="Times New Roman" w:hAnsi="Times New Roman" w:cs="Times New Roman"/>
          <w:sz w:val="22"/>
          <w:szCs w:val="22"/>
        </w:rPr>
        <w:t xml:space="preserve">XXV Национальн</w:t>
      </w:r>
      <w:r>
        <w:rPr>
          <w:rFonts w:ascii="Times New Roman" w:hAnsi="Times New Roman" w:cs="Times New Roman"/>
          <w:sz w:val="22"/>
          <w:szCs w:val="22"/>
        </w:rPr>
        <w:t xml:space="preserve">ой</w:t>
      </w:r>
      <w:r>
        <w:rPr>
          <w:rFonts w:ascii="Times New Roman" w:hAnsi="Times New Roman" w:cs="Times New Roman"/>
          <w:sz w:val="22"/>
          <w:szCs w:val="22"/>
        </w:rPr>
        <w:t xml:space="preserve"> конференци</w:t>
      </w:r>
      <w:r>
        <w:rPr>
          <w:rFonts w:ascii="Times New Roman" w:hAnsi="Times New Roman" w:cs="Times New Roman"/>
          <w:sz w:val="22"/>
          <w:szCs w:val="22"/>
        </w:rPr>
        <w:t xml:space="preserve">и</w:t>
      </w:r>
      <w:r>
        <w:rPr>
          <w:rFonts w:ascii="Times New Roman" w:hAnsi="Times New Roman" w:cs="Times New Roman"/>
          <w:sz w:val="22"/>
          <w:szCs w:val="22"/>
        </w:rPr>
        <w:t xml:space="preserve"> по микрофинансированию и финансовой доступности</w:t>
      </w:r>
      <w:r>
        <w:rPr>
          <w:rFonts w:ascii="Times New Roman" w:hAnsi="Times New Roman" w:cs="Times New Roman"/>
          <w:sz w:val="22"/>
          <w:szCs w:val="22"/>
        </w:rPr>
        <w:t xml:space="preserve"> и выполнившее условия раздела 3 настоящих Правил.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 Не допускаются к участию работники Организатора и лица, непосредственно участвовавшие в технической подготовке и проведении розыгрыша.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 Каждый Участник вправе зарегистрировать не более одной учетной записи для участия в Акции. Организатор вправе исключить дублирующие регистрации, созданные одним лицом с использованием разных QR-кодов.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3. Порядок участия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3.1. Для участия необходимо: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0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получить у представителя Организатора стикер с уникальным QR-кодом;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0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отсканировать QR-код и открыть регистрационную форму;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0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заполнить обязательные поля: ФИО, номер телефона, адрес электронной почты, наименование организации;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0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 желании заполнить: должность, комментарий, фото, дополнительный номер для связи;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0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ознакомиться с настоящими Правилами, Пользовательским соглашением и Политикой обработки персональных данных;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0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предоставить отдельные согласия, предусмотренные регистрационной формой;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0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нажать кнопку «Сохранить» до окончания срока регистрации.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3.2. После успешной регистрации Участнику создается учетная запись в сервисе QRGET, активируется доступ к тарифу </w:t>
      </w:r>
      <w:r>
        <w:rPr>
          <w:rFonts w:ascii="Times New Roman" w:hAnsi="Times New Roman" w:cs="Times New Roman"/>
          <w:sz w:val="22"/>
          <w:szCs w:val="22"/>
        </w:rPr>
        <w:t xml:space="preserve">«Премиум»</w:t>
      </w:r>
      <w:r>
        <w:rPr>
          <w:rFonts w:ascii="Times New Roman" w:hAnsi="Times New Roman" w:cs="Times New Roman"/>
          <w:sz w:val="22"/>
          <w:szCs w:val="22"/>
        </w:rPr>
        <w:t xml:space="preserve"> сроком на 1 год, а уникальный QR-код связывается с персональной QR-визиткой Участника.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3.3. Данные для входа в сервис направляются на адрес электронной почты, указанный при регистрации. Такое сообщение является сервисным и связано с исполнением условий Акции и предоставлением доступа к сервису.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3.4. Факт успешного сохранения формы и присвоения записи статуса «зарегистрирован» подтверждает включение Участника в список лиц, допущенных к розыгрышу.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4. Публичная QR-визитка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4.1. Публичная QR-визитка формируется на основании данных Участника и доступна по уникальной ссылке, связанной с QR-кодом.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4.2. На публичной визитке отображаются те персональные данные, распространение которых Участник отдельно разрешил в согласии на обработку персональных данных, разрешенных для распространения.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</w:t>
      </w:r>
      <w:r>
        <w:rPr>
          <w:rFonts w:ascii="Times New Roman" w:hAnsi="Times New Roman" w:cs="Times New Roman"/>
          <w:sz w:val="22"/>
          <w:szCs w:val="22"/>
        </w:rPr>
        <w:t xml:space="preserve">3</w:t>
      </w:r>
      <w:r>
        <w:rPr>
          <w:rFonts w:ascii="Times New Roman" w:hAnsi="Times New Roman" w:cs="Times New Roman"/>
          <w:sz w:val="22"/>
          <w:szCs w:val="22"/>
        </w:rPr>
        <w:t xml:space="preserve">. Участник может изменить состав публично отображаемых данных в личном кабинете и/или путем обращения к Организатору в порядке, предусмотренном соответствующим согласием и Политикой.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5. Приз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5.1. Призовой фонд Акции состоит из одного приза: смартфон </w:t>
      </w:r>
      <w:r>
        <w:rPr>
          <w:rFonts w:ascii="Times New Roman" w:hAnsi="Times New Roman" w:cs="Times New Roman"/>
          <w:sz w:val="22"/>
          <w:szCs w:val="22"/>
        </w:rPr>
        <w:t xml:space="preserve">Apple iPhone 18 Pro 512GB, Burgundy,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5.2. Стоимость приза для целей налогового учета: </w:t>
      </w:r>
      <w:r>
        <w:rPr>
          <w:rFonts w:ascii="Times New Roman" w:hAnsi="Times New Roman" w:cs="Times New Roman"/>
          <w:sz w:val="22"/>
          <w:szCs w:val="22"/>
        </w:rPr>
        <w:t xml:space="preserve">189 990</w:t>
      </w:r>
      <w:r>
        <w:rPr>
          <w:rFonts w:ascii="Times New Roman" w:hAnsi="Times New Roman" w:cs="Times New Roman"/>
          <w:sz w:val="22"/>
          <w:szCs w:val="22"/>
        </w:rPr>
        <w:t xml:space="preserve"> руб</w:t>
      </w:r>
      <w:r>
        <w:rPr>
          <w:rFonts w:ascii="Times New Roman" w:hAnsi="Times New Roman" w:cs="Times New Roman"/>
          <w:sz w:val="22"/>
          <w:szCs w:val="22"/>
        </w:rPr>
        <w:t xml:space="preserve">. Документ, подтверждающий стоимость, хранится у Организатора.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5.3. Денежная замена приза не производится, если иное прямо не будет объявлено Организатором до начала регистрации.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6. Порядок определения победителя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6.1. До начала розыгрыша Организатор закрывает регистрацию и формирует окончательный список допущенных Участников.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6.2. На экране может демонстрироватьс</w:t>
      </w:r>
      <w:r>
        <w:rPr>
          <w:rFonts w:ascii="Times New Roman" w:hAnsi="Times New Roman" w:cs="Times New Roman"/>
          <w:sz w:val="22"/>
          <w:szCs w:val="22"/>
        </w:rPr>
        <w:t xml:space="preserve">я список зарегистрированных Участников в объеме, разрешенном ими для распространения. Для целей публичной демонстрации рекомендуется использовать только QR/ID участника и Фамилию И.О.; иные данные не показываются без соответствующего отдельного разрешения.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6.3. </w:t>
      </w:r>
      <w:r>
        <w:rPr>
          <w:rFonts w:ascii="Times New Roman" w:hAnsi="Times New Roman" w:cs="Times New Roman"/>
          <w:sz w:val="22"/>
          <w:szCs w:val="22"/>
        </w:rPr>
        <w:t xml:space="preserve">Победитель определяется автоматически сервисом-рандомайзером по принципу случайного выбора одной записи из окончательного списка допущенных Участников. Организатор не осуществляет ручной выбор победителя и не изменяет список после запуска процедуры выбора.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6.4. Процесс выбора демонстрируется на экране конференции. 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6.5. После определения победителя на экране демонстрируется его QR-код и только те данные, на публичное распространение которых победитель заранее дал отдельное согласие.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6.6. Победитель должен подтвердить свое присутствие и обратиться к представителю Организатора в течение </w:t>
      </w:r>
      <w:r>
        <w:rPr>
          <w:rFonts w:ascii="Times New Roman" w:hAnsi="Times New Roman" w:cs="Times New Roman"/>
          <w:sz w:val="22"/>
          <w:szCs w:val="22"/>
        </w:rPr>
        <w:t xml:space="preserve">3</w:t>
      </w:r>
      <w:r>
        <w:rPr>
          <w:rFonts w:ascii="Times New Roman" w:hAnsi="Times New Roman" w:cs="Times New Roman"/>
          <w:sz w:val="22"/>
          <w:szCs w:val="22"/>
        </w:rPr>
        <w:t xml:space="preserve"> минут</w:t>
      </w:r>
      <w:r>
        <w:rPr>
          <w:rFonts w:ascii="Times New Roman" w:hAnsi="Times New Roman" w:cs="Times New Roman"/>
          <w:sz w:val="22"/>
          <w:szCs w:val="22"/>
        </w:rPr>
        <w:t xml:space="preserve"> после объявления результата.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6.7. Если выбранный Участник отсутствует, не подтвер</w:t>
      </w:r>
      <w:r>
        <w:rPr>
          <w:rFonts w:ascii="Times New Roman" w:hAnsi="Times New Roman" w:cs="Times New Roman"/>
          <w:sz w:val="22"/>
          <w:szCs w:val="22"/>
        </w:rPr>
        <w:t xml:space="preserve">ждает присутствие в установленный срок, отказался от приза, был зарегистрирован с нарушением Правил либо не может быть идентифицирован, результат в отношении него аннулируется и проводится повторный случайный выбор. Повторный выбор фиксируется в протоколе.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6.8. При техническом сбое, который не позволяет достоверно определить результат, Организатор вправе перезапустить процедуру после устранения сбоя. Причина и повторный запуск фиксируются в протоколе.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7. Получение приза</w:t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7.1. Для получения приза победитель предъявляет документ, позволяющий подтвердить личность, и предоставляет данные, необходимые для оформления передачи приза и исполнения налоговых обязанностей Организатора.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7.2. Передача приза оформляется актом приема-передачи.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7.3. Победитель информируется о налоговых последствиях получения приза. </w:t>
      </w:r>
      <w:r>
        <w:rPr>
          <w:rFonts w:ascii="Times New Roman" w:hAnsi="Times New Roman" w:cs="Times New Roman"/>
          <w:sz w:val="22"/>
          <w:szCs w:val="22"/>
        </w:rPr>
        <w:t xml:space="preserve">П</w:t>
      </w:r>
      <w:r>
        <w:rPr>
          <w:rFonts w:ascii="Times New Roman" w:hAnsi="Times New Roman" w:cs="Times New Roman"/>
          <w:sz w:val="22"/>
          <w:szCs w:val="22"/>
        </w:rPr>
        <w:t xml:space="preserve">риз относится к призам рекламных мероприятий, НДФЛ по специальной ставке применяется к стоимости приза в части превышения необлагаемого лимита, установленного Налоговым кодексом РФ.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7.4. Если Организатор не имеет возможности удержать исчисленный НДФЛ из денежных выплат победителю, Организатор выполняет обязанности по уведомлению налогового органа и победителя в порядке и сроки, установленные Налоговым кодексом РФ.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8. Персональные данные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8.1. Обработка персональных данных для участия в Акции осуществляется на основании отдельного согласия Участника и Политики обработки персональных данных ООО «КУАРГЕТ».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8.2. Публичное размещение персональных данных на QR-визитке и их демонстрация неопределенному кругу лиц осуществляются только в объеме отдельного согласия на обработку персональных данных, разрешенных для распространения.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</w:t>
      </w:r>
      <w:r>
        <w:rPr>
          <w:rFonts w:ascii="Times New Roman" w:hAnsi="Times New Roman" w:cs="Times New Roman"/>
          <w:sz w:val="22"/>
          <w:szCs w:val="22"/>
        </w:rPr>
        <w:t xml:space="preserve">3</w:t>
      </w:r>
      <w:r>
        <w:rPr>
          <w:rFonts w:ascii="Times New Roman" w:hAnsi="Times New Roman" w:cs="Times New Roman"/>
          <w:sz w:val="22"/>
          <w:szCs w:val="22"/>
        </w:rPr>
        <w:t xml:space="preserve">. Согласие на получение рекламы, если оно предлагается Участнику, не является условием участия в Акции.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9. Ответственность и иные условия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9.1. Участник несет ответственность за достоверность предоставленных данных и за наличие права использовать предоставленную</w:t>
      </w:r>
      <w:r>
        <w:rPr>
          <w:rFonts w:ascii="Times New Roman" w:hAnsi="Times New Roman" w:cs="Times New Roman"/>
          <w:sz w:val="22"/>
          <w:szCs w:val="22"/>
        </w:rPr>
        <w:t xml:space="preserve"> в форме</w:t>
      </w:r>
      <w:r>
        <w:rPr>
          <w:rFonts w:ascii="Times New Roman" w:hAnsi="Times New Roman" w:cs="Times New Roman"/>
          <w:sz w:val="22"/>
          <w:szCs w:val="22"/>
        </w:rPr>
        <w:t xml:space="preserve"> фотографию.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9.2. Организатор не отвечает за невозможность участия, вызванную неисправностью устройства Участника, отсутствием связи или иными обстоятельствами вне контроля Организатора.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9.3. Организатор вправе вносить изменения в Правила до окончания срока регистрации при условии публикации новой редакции и при отсутствии ухудшения положения уже зарегистрированных Участников в части права на участие и ранее объявленного призового фонда.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9.4. Во всем остальном Организатор и Участники руководствуются законодательством Российской Федерации.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9.5. Контакты Организатора: </w:t>
      </w:r>
      <w:r>
        <w:rPr>
          <w:rFonts w:ascii="Times New Roman" w:hAnsi="Times New Roman" w:cs="Times New Roman"/>
          <w:sz w:val="22"/>
          <w:szCs w:val="22"/>
        </w:rPr>
        <w:t xml:space="preserve">help@qrget.ru; https://qrget.ru/.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Рабочая редакция • </w:t>
      </w:r>
      <w:r>
        <w:rPr>
          <w:rFonts w:ascii="Times New Roman" w:hAnsi="Times New Roman" w:cs="Times New Roman"/>
          <w:sz w:val="22"/>
          <w:szCs w:val="22"/>
        </w:rPr>
        <w:t xml:space="preserve">19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  <w:t xml:space="preserve">1</w:t>
      </w:r>
      <w:r>
        <w:rPr>
          <w:rFonts w:ascii="Times New Roman" w:hAnsi="Times New Roman" w:cs="Times New Roman"/>
          <w:sz w:val="22"/>
          <w:szCs w:val="22"/>
        </w:rPr>
        <w:t xml:space="preserve">0</w:t>
      </w:r>
      <w:r>
        <w:rPr>
          <w:rFonts w:ascii="Times New Roman" w:hAnsi="Times New Roman" w:cs="Times New Roman"/>
          <w:sz w:val="22"/>
          <w:szCs w:val="22"/>
        </w:rPr>
        <w:t xml:space="preserve">.2026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sectPr>
      <w:footnotePr/>
      <w:endnotePr/>
      <w:type w:val="nextPage"/>
      <w:pgSz w:w="11906" w:h="16838" w:orient="portrait"/>
      <w:pgMar w:top="567" w:right="707" w:bottom="1134" w:left="85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  <w:rPr>
        <w:b/>
      </w:rPr>
    </w:lvl>
    <w:lvl w:ilvl="1">
      <w:start w:val="1"/>
      <w:numFmt w:val="decimal"/>
      <w:isLgl/>
      <w:suff w:val="tab"/>
      <w:lvlText w:val="%1.%2."/>
      <w:lvlJc w:val="left"/>
      <w:pPr>
        <w:ind w:left="720" w:hanging="72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1080" w:hanging="108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1440" w:hanging="1440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800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2160"/>
        <w:tabs>
          <w:tab w:val="num" w:pos="0" w:leader="none"/>
        </w:tabs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32"/>
    <w:link w:val="62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32"/>
    <w:link w:val="624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32"/>
    <w:link w:val="62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32"/>
    <w:link w:val="62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32"/>
    <w:link w:val="62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32"/>
    <w:link w:val="62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32"/>
    <w:link w:val="62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32"/>
    <w:link w:val="63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32"/>
    <w:link w:val="6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32"/>
    <w:link w:val="644"/>
    <w:uiPriority w:val="10"/>
    <w:rPr>
      <w:sz w:val="48"/>
      <w:szCs w:val="48"/>
    </w:rPr>
  </w:style>
  <w:style w:type="character" w:styleId="38">
    <w:name w:val="Subtitle Char"/>
    <w:basedOn w:val="632"/>
    <w:link w:val="646"/>
    <w:uiPriority w:val="11"/>
    <w:rPr>
      <w:sz w:val="24"/>
      <w:szCs w:val="24"/>
    </w:rPr>
  </w:style>
  <w:style w:type="character" w:styleId="40">
    <w:name w:val="Quote Char"/>
    <w:link w:val="648"/>
    <w:uiPriority w:val="29"/>
    <w:rPr>
      <w:i/>
    </w:rPr>
  </w:style>
  <w:style w:type="character" w:styleId="42">
    <w:name w:val="Intense Quote Char"/>
    <w:link w:val="652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32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32"/>
    <w:link w:val="45"/>
    <w:uiPriority w:val="99"/>
  </w:style>
  <w:style w:type="paragraph" w:styleId="47">
    <w:name w:val="Caption"/>
    <w:basedOn w:val="622"/>
    <w:next w:val="62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3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1b7ca4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1b7ca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b7ca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0e3f14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0e3f14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e3f14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5c1955" w:themeColor="accent5" w:themeShade="95"/>
        <w:sz w:val="22"/>
      </w:rPr>
    </w:tblStylePr>
    <w:tblStylePr w:type="firstCol">
      <w:rPr>
        <w:rFonts w:ascii="Liberation Sans" w:hAnsi="Liberation Sans"/>
        <w:i/>
        <w:color w:val="5c1955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1955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2e611a" w:themeColor="accent6" w:themeShade="95"/>
        <w:sz w:val="22"/>
      </w:rPr>
    </w:tblStylePr>
    <w:tblStylePr w:type="firstCol">
      <w:rPr>
        <w:rFonts w:ascii="Liberation Sans" w:hAnsi="Liberation Sans"/>
        <w:i/>
        <w:color w:val="2e611a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611a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0c394b" w:themeColor="accent1" w:themeShade="95"/>
        <w:sz w:val="22"/>
      </w:rPr>
    </w:tblStylePr>
    <w:tblStylePr w:type="firstCol">
      <w:rPr>
        <w:rFonts w:ascii="Liberation Sans" w:hAnsi="Liberation Sans"/>
        <w:i/>
        <w:color w:val="0c394b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c394b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c394b" w:themeColor="accent1" w:themeShade="95"/>
        <w:sz w:val="22"/>
      </w:rPr>
    </w:tblStylePr>
  </w:style>
  <w:style w:type="table" w:styleId="149">
    <w:name w:val="List Table 7 Colorful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34f16" w:themeColor="accent2" w:themeTint="97" w:themeShade="95"/>
        <w:sz w:val="22"/>
      </w:rPr>
    </w:tblStylePr>
  </w:style>
  <w:style w:type="table" w:styleId="150">
    <w:name w:val="List Table 7 Colorful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1f842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1f842b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f842b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1f842b" w:themeColor="accent3" w:themeTint="98" w:themeShade="95"/>
        <w:sz w:val="22"/>
      </w:rPr>
    </w:tblStylePr>
  </w:style>
  <w:style w:type="table" w:styleId="151">
    <w:name w:val="List Table 7 Colorful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d8ab8" w:themeColor="accent4" w:themeTint="9A" w:themeShade="95"/>
        <w:sz w:val="22"/>
      </w:rPr>
    </w:tblStylePr>
  </w:style>
  <w:style w:type="table" w:styleId="152">
    <w:name w:val="List Table 7 Colorful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932888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32888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32888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32888" w:themeColor="accent5" w:themeTint="9A" w:themeShade="95"/>
        <w:sz w:val="22"/>
      </w:rPr>
    </w:tblStylePr>
  </w:style>
  <w:style w:type="table" w:styleId="153">
    <w:name w:val="List Table 7 Colorful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b952a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4b952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b952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b952a" w:themeColor="accent6" w:themeTint="98" w:themeShade="95"/>
        <w:sz w:val="22"/>
      </w:rPr>
    </w:tblStylePr>
  </w:style>
  <w:style w:type="table" w:styleId="154">
    <w:name w:val="Lined - Accent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56">
    <w:name w:val="Lined - Accent 2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57">
    <w:name w:val="Lined - Accent 3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58">
    <w:name w:val="Lined - Accent 4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59">
    <w:name w:val="Lined - Accent 5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60">
    <w:name w:val="Lined - Accent 6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1">
    <w:name w:val="Bordered &amp; Lined - Accent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63">
    <w:name w:val="Bordered &amp; Lined - Accent 2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64">
    <w:name w:val="Bordered &amp; Lined - Accent 3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65">
    <w:name w:val="Bordered &amp; Lined - Accent 4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66">
    <w:name w:val="Bordered &amp; Lined - Accent 5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67">
    <w:name w:val="Bordered &amp; Lined - Accent 6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8">
    <w:name w:val="Bordered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2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2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qFormat/>
  </w:style>
  <w:style w:type="paragraph" w:styleId="623">
    <w:name w:val="Heading 1"/>
    <w:basedOn w:val="622"/>
    <w:next w:val="622"/>
    <w:link w:val="635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624">
    <w:name w:val="Heading 2"/>
    <w:basedOn w:val="622"/>
    <w:next w:val="622"/>
    <w:link w:val="636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625">
    <w:name w:val="Heading 3"/>
    <w:basedOn w:val="622"/>
    <w:next w:val="622"/>
    <w:link w:val="637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26">
    <w:name w:val="Heading 4"/>
    <w:basedOn w:val="622"/>
    <w:next w:val="622"/>
    <w:link w:val="638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627">
    <w:name w:val="Heading 5"/>
    <w:basedOn w:val="622"/>
    <w:next w:val="622"/>
    <w:link w:val="639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28">
    <w:name w:val="Heading 6"/>
    <w:basedOn w:val="622"/>
    <w:next w:val="622"/>
    <w:link w:val="640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29">
    <w:name w:val="Heading 7"/>
    <w:basedOn w:val="622"/>
    <w:next w:val="622"/>
    <w:link w:val="641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630">
    <w:name w:val="Heading 8"/>
    <w:basedOn w:val="622"/>
    <w:next w:val="622"/>
    <w:link w:val="642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31">
    <w:name w:val="Heading 9"/>
    <w:basedOn w:val="622"/>
    <w:next w:val="622"/>
    <w:link w:val="643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632" w:default="1">
    <w:name w:val="Default Paragraph Font"/>
    <w:uiPriority w:val="1"/>
    <w:semiHidden/>
    <w:unhideWhenUsed/>
  </w:style>
  <w:style w:type="table" w:styleId="6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4" w:default="1">
    <w:name w:val="No List"/>
    <w:uiPriority w:val="99"/>
    <w:semiHidden/>
    <w:unhideWhenUsed/>
  </w:style>
  <w:style w:type="character" w:styleId="635" w:customStyle="1">
    <w:name w:val="Заголовок 1 Знак"/>
    <w:basedOn w:val="632"/>
    <w:link w:val="623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636" w:customStyle="1">
    <w:name w:val="Заголовок 2 Знак"/>
    <w:basedOn w:val="632"/>
    <w:link w:val="624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637" w:customStyle="1">
    <w:name w:val="Заголовок 3 Знак"/>
    <w:basedOn w:val="632"/>
    <w:link w:val="625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styleId="638" w:customStyle="1">
    <w:name w:val="Заголовок 4 Знак"/>
    <w:basedOn w:val="632"/>
    <w:link w:val="626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639" w:customStyle="1">
    <w:name w:val="Заголовок 5 Знак"/>
    <w:basedOn w:val="632"/>
    <w:link w:val="627"/>
    <w:uiPriority w:val="9"/>
    <w:semiHidden/>
    <w:rPr>
      <w:rFonts w:eastAsiaTheme="majorEastAsia" w:cstheme="majorBidi"/>
      <w:color w:val="0f4761" w:themeColor="accent1" w:themeShade="BF"/>
    </w:rPr>
  </w:style>
  <w:style w:type="character" w:styleId="640" w:customStyle="1">
    <w:name w:val="Заголовок 6 Знак"/>
    <w:basedOn w:val="632"/>
    <w:link w:val="628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641" w:customStyle="1">
    <w:name w:val="Заголовок 7 Знак"/>
    <w:basedOn w:val="632"/>
    <w:link w:val="629"/>
    <w:uiPriority w:val="9"/>
    <w:semiHidden/>
    <w:rPr>
      <w:rFonts w:eastAsiaTheme="majorEastAsia" w:cstheme="majorBidi"/>
      <w:color w:val="595959" w:themeColor="text1" w:themeTint="A6"/>
    </w:rPr>
  </w:style>
  <w:style w:type="character" w:styleId="642" w:customStyle="1">
    <w:name w:val="Заголовок 8 Знак"/>
    <w:basedOn w:val="632"/>
    <w:link w:val="630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643" w:customStyle="1">
    <w:name w:val="Заголовок 9 Знак"/>
    <w:basedOn w:val="632"/>
    <w:link w:val="631"/>
    <w:uiPriority w:val="9"/>
    <w:semiHidden/>
    <w:rPr>
      <w:rFonts w:eastAsiaTheme="majorEastAsia" w:cstheme="majorBidi"/>
      <w:color w:val="272727" w:themeColor="text1" w:themeTint="D8"/>
    </w:rPr>
  </w:style>
  <w:style w:type="paragraph" w:styleId="644">
    <w:name w:val="Title"/>
    <w:basedOn w:val="622"/>
    <w:next w:val="622"/>
    <w:link w:val="645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45" w:customStyle="1">
    <w:name w:val="Заголовок Знак"/>
    <w:basedOn w:val="632"/>
    <w:link w:val="644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46">
    <w:name w:val="Subtitle"/>
    <w:basedOn w:val="622"/>
    <w:next w:val="622"/>
    <w:link w:val="647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647" w:customStyle="1">
    <w:name w:val="Подзаголовок Знак"/>
    <w:basedOn w:val="632"/>
    <w:link w:val="646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648">
    <w:name w:val="Quote"/>
    <w:basedOn w:val="622"/>
    <w:next w:val="622"/>
    <w:link w:val="649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649" w:customStyle="1">
    <w:name w:val="Цитата 2 Знак"/>
    <w:basedOn w:val="632"/>
    <w:link w:val="648"/>
    <w:uiPriority w:val="29"/>
    <w:rPr>
      <w:i/>
      <w:iCs/>
      <w:color w:val="404040" w:themeColor="text1" w:themeTint="BF"/>
    </w:rPr>
  </w:style>
  <w:style w:type="paragraph" w:styleId="650">
    <w:name w:val="List Paragraph"/>
    <w:basedOn w:val="622"/>
    <w:uiPriority w:val="34"/>
    <w:qFormat/>
    <w:pPr>
      <w:contextualSpacing/>
      <w:ind w:left="720"/>
    </w:pPr>
  </w:style>
  <w:style w:type="character" w:styleId="651">
    <w:name w:val="Intense Emphasis"/>
    <w:basedOn w:val="632"/>
    <w:uiPriority w:val="21"/>
    <w:qFormat/>
    <w:rPr>
      <w:i/>
      <w:iCs/>
      <w:color w:val="0f4761" w:themeColor="accent1" w:themeShade="BF"/>
    </w:rPr>
  </w:style>
  <w:style w:type="paragraph" w:styleId="652">
    <w:name w:val="Intense Quote"/>
    <w:basedOn w:val="622"/>
    <w:next w:val="622"/>
    <w:link w:val="653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653" w:customStyle="1">
    <w:name w:val="Выделенная цитата Знак"/>
    <w:basedOn w:val="632"/>
    <w:link w:val="652"/>
    <w:uiPriority w:val="30"/>
    <w:rPr>
      <w:i/>
      <w:iCs/>
      <w:color w:val="0f4761" w:themeColor="accent1" w:themeShade="BF"/>
    </w:rPr>
  </w:style>
  <w:style w:type="character" w:styleId="654">
    <w:name w:val="Intense Reference"/>
    <w:basedOn w:val="632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655">
    <w:name w:val="Revision"/>
    <w:hidden/>
    <w:uiPriority w:val="99"/>
    <w:semiHidden/>
    <w:pPr>
      <w:spacing w:after="0" w:line="240" w:lineRule="auto"/>
    </w:pPr>
  </w:style>
  <w:style w:type="character" w:styleId="656">
    <w:name w:val="annotation reference"/>
    <w:basedOn w:val="632"/>
    <w:uiPriority w:val="99"/>
    <w:semiHidden/>
    <w:unhideWhenUsed/>
    <w:rPr>
      <w:sz w:val="16"/>
      <w:szCs w:val="16"/>
    </w:rPr>
  </w:style>
  <w:style w:type="paragraph" w:styleId="657">
    <w:name w:val="annotation text"/>
    <w:basedOn w:val="622"/>
    <w:link w:val="658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658" w:customStyle="1">
    <w:name w:val="Текст примечания Знак"/>
    <w:basedOn w:val="632"/>
    <w:link w:val="657"/>
    <w:uiPriority w:val="99"/>
    <w:semiHidden/>
    <w:rPr>
      <w:sz w:val="20"/>
      <w:szCs w:val="20"/>
    </w:rPr>
  </w:style>
  <w:style w:type="paragraph" w:styleId="659">
    <w:name w:val="annotation subject"/>
    <w:basedOn w:val="657"/>
    <w:next w:val="657"/>
    <w:link w:val="660"/>
    <w:uiPriority w:val="99"/>
    <w:semiHidden/>
    <w:unhideWhenUsed/>
    <w:rPr>
      <w:b/>
      <w:bCs/>
    </w:rPr>
  </w:style>
  <w:style w:type="character" w:styleId="660" w:customStyle="1">
    <w:name w:val="Тема примечания Знак"/>
    <w:basedOn w:val="658"/>
    <w:link w:val="659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Liberation Sans"/>
        <a:cs typeface="Liberation Sans"/>
      </a:majorFont>
      <a:minorFont>
        <a:latin typeface="Aptos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Максим Романовский</cp:lastModifiedBy>
  <cp:revision>13</cp:revision>
  <dcterms:created xsi:type="dcterms:W3CDTF">2026-09-30T04:58:00Z</dcterms:created>
  <dcterms:modified xsi:type="dcterms:W3CDTF">2026-10-19T09:04:05Z</dcterms:modified>
</cp:coreProperties>
</file>